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5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ascii="Arial" w:hAnsi="Arial" w:eastAsia="MS Mincho" w:cs="Arial"/>
          <w:b/>
          <w:sz w:val="24"/>
          <w:szCs w:val="24"/>
        </w:rPr>
        <w:t>R4-2220255</w:t>
      </w:r>
    </w:p>
    <w:p>
      <w:pPr>
        <w:tabs>
          <w:tab w:val="right" w:pos="10440"/>
          <w:tab w:val="right" w:pos="13323"/>
        </w:tabs>
        <w:spacing w:after="240" w:afterLines="10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Toulouse, France,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14</w:t>
      </w:r>
      <w:r>
        <w:rPr>
          <w:rFonts w:ascii="Arial" w:hAnsi="Arial"/>
          <w:b/>
          <w:sz w:val="24"/>
          <w:szCs w:val="24"/>
          <w:lang w:eastAsia="zh-CN"/>
        </w:rPr>
        <w:t xml:space="preserve"> ‒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18 Nov</w:t>
      </w:r>
      <w:r>
        <w:rPr>
          <w:rFonts w:ascii="Arial" w:hAnsi="Arial"/>
          <w:b/>
          <w:sz w:val="24"/>
          <w:szCs w:val="24"/>
          <w:lang w:eastAsia="zh-CN"/>
        </w:rPr>
        <w:t>, 2022</w:t>
      </w:r>
    </w:p>
    <w:p>
      <w:pPr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b/>
          <w:sz w:val="22"/>
          <w:lang w:val="en-US" w:eastAsia="zh-CN"/>
        </w:rPr>
        <w:t xml:space="preserve">         </w:t>
      </w:r>
      <w:r>
        <w:rPr>
          <w:rFonts w:hint="eastAsia" w:ascii="Arial" w:hAnsi="Arial" w:cs="Arial"/>
          <w:sz w:val="22"/>
          <w:lang w:val="en-US" w:eastAsia="zh-CN"/>
        </w:rPr>
        <w:t>WF for NCR system parameters and RF requirements</w:t>
      </w: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hint="default"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b/>
          <w:sz w:val="22"/>
          <w:lang w:val="en-US" w:eastAsia="zh-CN"/>
        </w:rPr>
        <w:t xml:space="preserve">     </w:t>
      </w:r>
      <w:r>
        <w:rPr>
          <w:rFonts w:hint="eastAsia" w:ascii="Arial" w:hAnsi="Arial" w:cs="Arial"/>
          <w:color w:val="000000"/>
          <w:sz w:val="22"/>
          <w:lang w:val="en-US" w:eastAsia="zh-CN"/>
        </w:rPr>
        <w:t>8</w:t>
      </w:r>
      <w:r>
        <w:rPr>
          <w:rFonts w:hint="eastAsia" w:ascii="Arial" w:hAnsi="Arial" w:cs="Arial"/>
          <w:color w:val="000000"/>
          <w:sz w:val="22"/>
          <w:lang w:eastAsia="zh-CN"/>
        </w:rPr>
        <w:t>.</w:t>
      </w:r>
      <w:r>
        <w:rPr>
          <w:rFonts w:hint="eastAsia" w:ascii="Arial" w:hAnsi="Arial" w:cs="Arial"/>
          <w:color w:val="000000"/>
          <w:sz w:val="22"/>
          <w:lang w:val="en-US" w:eastAsia="zh-CN"/>
        </w:rPr>
        <w:t>25</w:t>
      </w:r>
      <w:r>
        <w:rPr>
          <w:rFonts w:hint="eastAsia" w:ascii="Arial" w:hAnsi="Arial" w:cs="Arial"/>
          <w:color w:val="000000"/>
          <w:sz w:val="22"/>
          <w:lang w:eastAsia="zh-CN"/>
        </w:rPr>
        <w:t>.</w:t>
      </w:r>
      <w:r>
        <w:rPr>
          <w:rFonts w:hint="eastAsia" w:ascii="Arial" w:hAnsi="Arial" w:cs="Arial"/>
          <w:color w:val="000000"/>
          <w:sz w:val="22"/>
          <w:lang w:val="en-US" w:eastAsia="zh-CN"/>
        </w:rPr>
        <w:t>4</w:t>
      </w:r>
    </w:p>
    <w:p>
      <w:pPr>
        <w:tabs>
          <w:tab w:val="left" w:pos="1985"/>
        </w:tabs>
        <w:jc w:val="both"/>
        <w:rPr>
          <w:rFonts w:hint="default"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ZTE, CMCC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pStyle w:val="2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zh-CN"/>
        </w:rPr>
        <w:t>Agreement</w:t>
      </w:r>
    </w:p>
    <w:p>
      <w:pPr>
        <w:pStyle w:val="87"/>
        <w:spacing w:after="120"/>
        <w:ind w:firstLine="0" w:firstLineChars="0"/>
        <w:rPr>
          <w:szCs w:val="24"/>
          <w:lang w:eastAsia="zh-CN"/>
        </w:rPr>
      </w:pPr>
    </w:p>
    <w:p>
      <w:pPr>
        <w:rPr>
          <w:rFonts w:hint="eastAsia"/>
          <w:b/>
          <w:bCs/>
          <w:iCs/>
          <w:lang w:val="en-US" w:eastAsia="zh-CN"/>
        </w:rPr>
      </w:pPr>
      <w:r>
        <w:rPr>
          <w:rFonts w:hint="eastAsia"/>
          <w:b/>
          <w:bCs/>
          <w:iCs/>
          <w:lang w:val="en-US"/>
        </w:rPr>
        <w:t xml:space="preserve">Issue </w:t>
      </w:r>
      <w:r>
        <w:rPr>
          <w:rFonts w:hint="eastAsia"/>
          <w:b/>
          <w:bCs/>
          <w:iCs/>
          <w:lang w:val="en-US" w:eastAsia="zh-CN"/>
        </w:rPr>
        <w:t>1-1</w:t>
      </w:r>
      <w:r>
        <w:rPr>
          <w:rFonts w:hint="eastAsia"/>
          <w:b/>
          <w:bCs/>
          <w:iCs/>
          <w:lang w:val="en-US"/>
        </w:rPr>
        <w:t xml:space="preserve">: </w:t>
      </w:r>
      <w:r>
        <w:rPr>
          <w:rFonts w:hint="eastAsia"/>
          <w:b/>
          <w:bCs/>
          <w:iCs/>
          <w:lang w:val="en-US" w:eastAsia="zh-CN"/>
        </w:rPr>
        <w:t xml:space="preserve"> Beamforming capability for FR1 NCR</w:t>
      </w:r>
    </w:p>
    <w:p>
      <w:pPr>
        <w:pStyle w:val="87"/>
        <w:numPr>
          <w:ilvl w:val="0"/>
          <w:numId w:val="2"/>
        </w:numPr>
        <w:spacing w:line="259" w:lineRule="auto"/>
        <w:rPr>
          <w:highlight w:val="none"/>
        </w:rPr>
      </w:pPr>
      <w:r>
        <w:rPr>
          <w:iCs/>
          <w:highlight w:val="none"/>
        </w:rPr>
        <w:t>Agreement: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rFonts w:hint="eastAsia"/>
          <w:iCs/>
          <w:highlight w:val="none"/>
        </w:rPr>
        <w:t xml:space="preserve">Beamforming capability </w:t>
      </w:r>
      <w:r>
        <w:rPr>
          <w:iCs/>
          <w:highlight w:val="none"/>
        </w:rPr>
        <w:t xml:space="preserve">can be supported </w:t>
      </w:r>
      <w:r>
        <w:rPr>
          <w:rFonts w:hint="eastAsia"/>
          <w:iCs/>
          <w:highlight w:val="none"/>
        </w:rPr>
        <w:t>for FR1 NCR</w:t>
      </w:r>
      <w:r>
        <w:rPr>
          <w:iCs/>
          <w:highlight w:val="none"/>
        </w:rPr>
        <w:t xml:space="preserve"> from RAN4 perspective </w:t>
      </w:r>
    </w:p>
    <w:p>
      <w:pPr>
        <w:rPr>
          <w:b/>
          <w:bCs/>
          <w:iCs/>
          <w:highlight w:val="none"/>
          <w:lang w:val="en-US" w:eastAsia="zh-CN"/>
        </w:rPr>
      </w:pPr>
      <w:r>
        <w:rPr>
          <w:rFonts w:hint="eastAsia"/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 w:eastAsia="zh-CN"/>
        </w:rPr>
        <w:t>1-2</w:t>
      </w:r>
      <w:r>
        <w:rPr>
          <w:rFonts w:hint="eastAsia"/>
          <w:b/>
          <w:bCs/>
          <w:iCs/>
          <w:highlight w:val="none"/>
          <w:lang w:val="en-US"/>
        </w:rPr>
        <w:t xml:space="preserve">: </w:t>
      </w:r>
      <w:r>
        <w:rPr>
          <w:rFonts w:hint="eastAsia"/>
          <w:b/>
          <w:bCs/>
          <w:iCs/>
          <w:highlight w:val="none"/>
          <w:lang w:val="en-US" w:eastAsia="zh-CN"/>
        </w:rPr>
        <w:t xml:space="preserve"> System parameter for NCR-MT</w:t>
      </w:r>
    </w:p>
    <w:p>
      <w:pPr>
        <w:pStyle w:val="87"/>
        <w:numPr>
          <w:ilvl w:val="1"/>
          <w:numId w:val="2"/>
        </w:numPr>
        <w:spacing w:line="259" w:lineRule="auto"/>
        <w:ind w:left="1440"/>
        <w:rPr>
          <w:highlight w:val="none"/>
        </w:rPr>
      </w:pPr>
      <w:r>
        <w:rPr>
          <w:highlight w:val="none"/>
        </w:rPr>
        <w:t>Proposal 1 agreed</w:t>
      </w:r>
    </w:p>
    <w:p>
      <w:pPr>
        <w:rPr>
          <w:b/>
          <w:bCs/>
          <w:iCs/>
          <w:highlight w:val="none"/>
          <w:lang w:val="en-US" w:eastAsia="zh-CN"/>
        </w:rPr>
      </w:pPr>
      <w:r>
        <w:rPr>
          <w:rFonts w:hint="eastAsia"/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 w:eastAsia="zh-CN"/>
        </w:rPr>
        <w:t>1-3</w:t>
      </w:r>
      <w:r>
        <w:rPr>
          <w:rFonts w:hint="eastAsia"/>
          <w:b/>
          <w:bCs/>
          <w:iCs/>
          <w:highlight w:val="none"/>
          <w:lang w:val="en-US"/>
        </w:rPr>
        <w:t xml:space="preserve">: </w:t>
      </w:r>
      <w:r>
        <w:rPr>
          <w:rFonts w:hint="eastAsia"/>
          <w:b/>
          <w:bCs/>
          <w:iCs/>
          <w:highlight w:val="none"/>
          <w:lang w:val="en-US" w:eastAsia="zh-CN"/>
        </w:rPr>
        <w:t xml:space="preserve"> NCR-MT feature list</w:t>
      </w:r>
    </w:p>
    <w:p>
      <w:pPr>
        <w:pStyle w:val="87"/>
        <w:numPr>
          <w:ilvl w:val="0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Agreement: Postpone the discussion on NCR-MT feature list into future RAN4 meetings.</w:t>
      </w:r>
    </w:p>
    <w:p>
      <w:pPr>
        <w:pBdr>
          <w:bottom w:val="single" w:color="auto" w:sz="6" w:space="1"/>
        </w:pBdr>
        <w:rPr>
          <w:color w:val="993300"/>
          <w:highlight w:val="none"/>
          <w:u w:val="single"/>
        </w:rPr>
      </w:pPr>
    </w:p>
    <w:p>
      <w:pPr>
        <w:rPr>
          <w:highlight w:val="none"/>
          <w:lang w:eastAsia="zh-CN"/>
        </w:rPr>
      </w:pPr>
      <w:r>
        <w:rPr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/>
        </w:rPr>
        <w:t>2</w:t>
      </w:r>
      <w:r>
        <w:rPr>
          <w:b/>
          <w:bCs/>
          <w:iCs/>
          <w:highlight w:val="none"/>
          <w:lang w:val="en-US"/>
        </w:rPr>
        <w:t>-</w:t>
      </w:r>
      <w:r>
        <w:rPr>
          <w:rFonts w:hint="eastAsia"/>
          <w:b/>
          <w:bCs/>
          <w:iCs/>
          <w:highlight w:val="none"/>
          <w:lang w:val="en-US"/>
        </w:rPr>
        <w:t>2-1  NCR-MT UL assumption</w:t>
      </w:r>
    </w:p>
    <w:p>
      <w:pPr>
        <w:pStyle w:val="87"/>
        <w:numPr>
          <w:ilvl w:val="0"/>
          <w:numId w:val="2"/>
        </w:numPr>
        <w:spacing w:line="259" w:lineRule="auto"/>
        <w:ind w:left="720"/>
        <w:rPr>
          <w:highlight w:val="none"/>
        </w:rPr>
      </w:pPr>
      <w:r>
        <w:rPr>
          <w:highlight w:val="none"/>
        </w:rPr>
        <w:t xml:space="preserve">Agreement: </w:t>
      </w:r>
    </w:p>
    <w:p>
      <w:pPr>
        <w:pStyle w:val="87"/>
        <w:numPr>
          <w:ilvl w:val="1"/>
          <w:numId w:val="2"/>
        </w:numPr>
        <w:spacing w:line="259" w:lineRule="auto"/>
        <w:ind w:left="1440"/>
        <w:rPr>
          <w:highlight w:val="none"/>
        </w:rPr>
      </w:pPr>
      <w:r>
        <w:rPr>
          <w:rFonts w:hint="eastAsia"/>
          <w:highlight w:val="none"/>
        </w:rPr>
        <w:t>NCR-MT uplink transmission is supported</w:t>
      </w:r>
    </w:p>
    <w:p>
      <w:pPr>
        <w:rPr>
          <w:b/>
          <w:bCs/>
          <w:iCs/>
          <w:highlight w:val="none"/>
          <w:lang w:val="en-US"/>
        </w:rPr>
      </w:pPr>
      <w:bookmarkStart w:id="0" w:name="_GoBack"/>
      <w:bookmarkEnd w:id="0"/>
      <w:r>
        <w:rPr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/>
        </w:rPr>
        <w:t>2</w:t>
      </w:r>
      <w:r>
        <w:rPr>
          <w:b/>
          <w:bCs/>
          <w:iCs/>
          <w:highlight w:val="none"/>
          <w:lang w:val="en-US"/>
        </w:rPr>
        <w:t>-</w:t>
      </w:r>
      <w:r>
        <w:rPr>
          <w:rFonts w:hint="eastAsia"/>
          <w:b/>
          <w:bCs/>
          <w:iCs/>
          <w:highlight w:val="none"/>
          <w:lang w:val="en-US"/>
        </w:rPr>
        <w:t>2-2  RF requirements for NCR-MT transmitter requirements</w:t>
      </w:r>
    </w:p>
    <w:p>
      <w:pPr>
        <w:pStyle w:val="87"/>
        <w:numPr>
          <w:ilvl w:val="0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 xml:space="preserve">Agreement: For NCR-MT transmitter:  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 xml:space="preserve">Baseline assumption: Legacy uplink transmitter requirements from Rel-17 RF repeater still be applicable </w:t>
      </w:r>
    </w:p>
    <w:p>
      <w:pPr>
        <w:pStyle w:val="87"/>
        <w:numPr>
          <w:ilvl w:val="2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Further discuss the power control requirements for NCR-MT</w:t>
      </w:r>
    </w:p>
    <w:p>
      <w:pPr>
        <w:pStyle w:val="87"/>
        <w:numPr>
          <w:ilvl w:val="2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 xml:space="preserve">Update on other requirements not precluded 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 xml:space="preserve">For NCR </w:t>
      </w:r>
      <w:r>
        <w:rPr>
          <w:rFonts w:hint="eastAsia"/>
          <w:highlight w:val="none"/>
        </w:rPr>
        <w:t xml:space="preserve">Tx direction requirements, </w:t>
      </w:r>
      <w:r>
        <w:rPr>
          <w:highlight w:val="none"/>
        </w:rPr>
        <w:t>r</w:t>
      </w:r>
      <w:r>
        <w:rPr>
          <w:rFonts w:hint="eastAsia"/>
          <w:highlight w:val="none"/>
        </w:rPr>
        <w:t>euse the concept of OTA coverage range which also include OTA peak directions sets.</w:t>
      </w:r>
    </w:p>
    <w:p>
      <w:pPr>
        <w:rPr>
          <w:b/>
          <w:bCs/>
          <w:iCs/>
          <w:highlight w:val="none"/>
          <w:lang w:val="en-US"/>
        </w:rPr>
      </w:pPr>
      <w:r>
        <w:rPr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/>
        </w:rPr>
        <w:t>2-3  BC for NCR</w:t>
      </w:r>
    </w:p>
    <w:p>
      <w:pPr>
        <w:pStyle w:val="87"/>
        <w:numPr>
          <w:ilvl w:val="0"/>
          <w:numId w:val="2"/>
        </w:numPr>
        <w:spacing w:line="259" w:lineRule="auto"/>
        <w:rPr>
          <w:bCs/>
          <w:highlight w:val="none"/>
        </w:rPr>
      </w:pPr>
      <w:r>
        <w:rPr>
          <w:bCs/>
          <w:highlight w:val="none"/>
        </w:rPr>
        <w:t xml:space="preserve">Agreement: </w:t>
      </w:r>
    </w:p>
    <w:p>
      <w:pPr>
        <w:pStyle w:val="87"/>
        <w:numPr>
          <w:ilvl w:val="1"/>
          <w:numId w:val="2"/>
        </w:numPr>
        <w:spacing w:line="259" w:lineRule="auto"/>
        <w:rPr>
          <w:bCs/>
          <w:highlight w:val="none"/>
        </w:rPr>
      </w:pPr>
      <w:r>
        <w:rPr>
          <w:bCs/>
          <w:highlight w:val="none"/>
        </w:rPr>
        <w:t xml:space="preserve">Taking IAB-MT approach as starting point, and further discuss how to address different BC capabilities. </w:t>
      </w:r>
    </w:p>
    <w:p>
      <w:pPr>
        <w:rPr>
          <w:highlight w:val="none"/>
          <w:lang w:eastAsia="zh-CN"/>
        </w:rPr>
      </w:pPr>
      <w:r>
        <w:rPr>
          <w:b/>
          <w:bCs/>
          <w:iCs/>
          <w:highlight w:val="none"/>
          <w:lang w:val="en-US"/>
        </w:rPr>
        <w:t xml:space="preserve">Issue </w:t>
      </w:r>
      <w:r>
        <w:rPr>
          <w:rFonts w:hint="eastAsia"/>
          <w:b/>
          <w:bCs/>
          <w:iCs/>
          <w:highlight w:val="none"/>
          <w:lang w:val="en-US"/>
        </w:rPr>
        <w:t>2</w:t>
      </w:r>
      <w:r>
        <w:rPr>
          <w:b/>
          <w:bCs/>
          <w:iCs/>
          <w:highlight w:val="none"/>
          <w:lang w:val="en-US"/>
        </w:rPr>
        <w:t>-</w:t>
      </w:r>
      <w:r>
        <w:rPr>
          <w:rFonts w:hint="eastAsia"/>
          <w:b/>
          <w:bCs/>
          <w:iCs/>
          <w:highlight w:val="none"/>
          <w:lang w:val="en-US"/>
        </w:rPr>
        <w:t>4  Rx requirements for NCR-MT</w:t>
      </w:r>
      <w:r>
        <w:rPr>
          <w:b/>
          <w:bCs/>
          <w:iCs/>
          <w:highlight w:val="none"/>
          <w:lang w:val="en-US"/>
        </w:rPr>
        <w:t xml:space="preserve"> </w:t>
      </w:r>
      <w:r>
        <w:rPr>
          <w:rFonts w:hint="eastAsia"/>
          <w:b/>
          <w:bCs/>
          <w:iCs/>
          <w:highlight w:val="none"/>
          <w:lang w:val="en-US"/>
        </w:rPr>
        <w:t xml:space="preserve"> </w:t>
      </w:r>
    </w:p>
    <w:p>
      <w:pPr>
        <w:pStyle w:val="87"/>
        <w:numPr>
          <w:ilvl w:val="0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Agreement: Pro</w:t>
      </w:r>
    </w:p>
    <w:p>
      <w:pPr>
        <w:pStyle w:val="87"/>
        <w:numPr>
          <w:ilvl w:val="1"/>
          <w:numId w:val="2"/>
        </w:numPr>
        <w:spacing w:line="259" w:lineRule="auto"/>
        <w:ind w:left="1440"/>
        <w:rPr>
          <w:highlight w:val="none"/>
        </w:rPr>
      </w:pPr>
      <w:r>
        <w:rPr>
          <w:rFonts w:hint="eastAsia"/>
          <w:highlight w:val="none"/>
        </w:rPr>
        <w:t>Proposal 1: For NCR</w:t>
      </w:r>
      <w:r>
        <w:rPr>
          <w:highlight w:val="none"/>
        </w:rPr>
        <w:t xml:space="preserve">-MT </w:t>
      </w:r>
      <w:r>
        <w:rPr>
          <w:rFonts w:hint="eastAsia"/>
          <w:highlight w:val="none"/>
        </w:rPr>
        <w:t>Rx direction requirements, it</w:t>
      </w:r>
      <w:r>
        <w:rPr>
          <w:highlight w:val="none"/>
        </w:rPr>
        <w:t>’</w:t>
      </w:r>
      <w:r>
        <w:rPr>
          <w:rFonts w:hint="eastAsia"/>
          <w:highlight w:val="none"/>
        </w:rPr>
        <w:t>s suggested to specify following OTA Rx direction declarations. These declarations apply for both input signal and interference signal.</w:t>
      </w:r>
    </w:p>
    <w:p>
      <w:pPr>
        <w:pStyle w:val="87"/>
        <w:numPr>
          <w:ilvl w:val="0"/>
          <w:numId w:val="3"/>
        </w:numPr>
        <w:spacing w:line="260" w:lineRule="auto"/>
        <w:ind w:left="1600" w:leftChars="800"/>
        <w:rPr>
          <w:highlight w:val="none"/>
        </w:rPr>
      </w:pPr>
      <w:r>
        <w:rPr>
          <w:rFonts w:hint="eastAsia"/>
          <w:highlight w:val="none"/>
        </w:rPr>
        <w:t>A declared receiver target redirection range. This range is not needed if NCR don</w:t>
      </w:r>
      <w:r>
        <w:rPr>
          <w:highlight w:val="none"/>
        </w:rPr>
        <w:t>’</w:t>
      </w:r>
      <w:r>
        <w:rPr>
          <w:rFonts w:hint="eastAsia"/>
          <w:highlight w:val="none"/>
        </w:rPr>
        <w:t>t support redirection.</w:t>
      </w:r>
    </w:p>
    <w:p>
      <w:pPr>
        <w:pStyle w:val="87"/>
        <w:numPr>
          <w:ilvl w:val="0"/>
          <w:numId w:val="3"/>
        </w:numPr>
        <w:spacing w:line="260" w:lineRule="auto"/>
        <w:ind w:left="1600" w:leftChars="800"/>
        <w:rPr>
          <w:highlight w:val="none"/>
        </w:rPr>
      </w:pPr>
      <w:r>
        <w:rPr>
          <w:rFonts w:hint="eastAsia"/>
          <w:highlight w:val="none"/>
        </w:rPr>
        <w:t>[five] declared sensitivity RoAoA comprising the conformance testing directions. If don</w:t>
      </w:r>
      <w:r>
        <w:rPr>
          <w:highlight w:val="none"/>
        </w:rPr>
        <w:t>’</w:t>
      </w:r>
      <w:r>
        <w:rPr>
          <w:rFonts w:hint="eastAsia"/>
          <w:highlight w:val="none"/>
        </w:rPr>
        <w:t>t support redirection, only one RoAoA is suggested</w:t>
      </w:r>
    </w:p>
    <w:p>
      <w:pPr>
        <w:pStyle w:val="87"/>
        <w:numPr>
          <w:ilvl w:val="0"/>
          <w:numId w:val="3"/>
        </w:numPr>
        <w:spacing w:line="260" w:lineRule="auto"/>
        <w:ind w:left="1600" w:leftChars="800"/>
        <w:rPr>
          <w:highlight w:val="none"/>
        </w:rPr>
      </w:pPr>
      <w:r>
        <w:rPr>
          <w:rFonts w:hint="eastAsia"/>
          <w:highlight w:val="none"/>
        </w:rPr>
        <w:t>Receiver target reference direction</w:t>
      </w:r>
    </w:p>
    <w:p>
      <w:pPr>
        <w:pStyle w:val="87"/>
        <w:numPr>
          <w:ilvl w:val="0"/>
          <w:numId w:val="3"/>
        </w:numPr>
        <w:spacing w:line="260" w:lineRule="auto"/>
        <w:ind w:left="1600" w:leftChars="800"/>
        <w:rPr>
          <w:highlight w:val="none"/>
        </w:rPr>
      </w:pPr>
      <w:r>
        <w:rPr>
          <w:rFonts w:hint="eastAsia"/>
          <w:highlight w:val="none"/>
        </w:rPr>
        <w:t>Min EIS may only need for MT part</w:t>
      </w:r>
    </w:p>
    <w:p>
      <w:pPr>
        <w:pStyle w:val="87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rFonts w:hint="eastAsia"/>
          <w:highlight w:val="none"/>
        </w:rPr>
        <w:t xml:space="preserve">Proposal 3: for the RF requirement of NCR-MT receiver, to define the refense requirement for NCR-MT receiver.  </w:t>
      </w:r>
    </w:p>
    <w:p>
      <w:pPr>
        <w:rPr>
          <w:lang w:val="en-US" w:eastAsia="zh-CN"/>
        </w:rPr>
      </w:pPr>
    </w:p>
    <w:sectPr>
      <w:footnotePr>
        <w:numRestart w:val="eachSect"/>
      </w:footnotePr>
      <w:pgSz w:w="16840" w:h="11907" w:orient="landscape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589F"/>
    <w:multiLevelType w:val="singleLevel"/>
    <w:tmpl w:val="04C9589F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"/>
      <w:lvlJc w:val="left"/>
      <w:pPr>
        <w:ind w:left="2376" w:hanging="360"/>
      </w:pPr>
      <w:rPr>
        <w:rFonts w:hint="default" w:ascii="Symbol" w:hAnsi="Symbol"/>
      </w:rPr>
    </w:lvl>
    <w:lvl w:ilvl="3" w:tentative="0">
      <w:start w:val="1"/>
      <w:numFmt w:val="bullet"/>
      <w:lvlText w:val="o"/>
      <w:lvlJc w:val="left"/>
      <w:pPr>
        <w:ind w:left="3096" w:hanging="360"/>
      </w:pPr>
      <w:rPr>
        <w:rFonts w:hint="default" w:ascii="Courier New" w:hAnsi="Courier New" w:cs="Courier New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2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hyphenationZone w:val="425"/>
  <w:drawingGridHorizontalSpacing w:val="100"/>
  <w:drawingGridVerticalSpacing w:val="156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689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C3C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AAD"/>
    <w:rsid w:val="001A1C89"/>
    <w:rsid w:val="001A2689"/>
    <w:rsid w:val="001A32ED"/>
    <w:rsid w:val="001A3878"/>
    <w:rsid w:val="001A4100"/>
    <w:rsid w:val="001A49E4"/>
    <w:rsid w:val="001A4FA5"/>
    <w:rsid w:val="001A6373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48B1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BAA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3FC7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749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4C1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477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75D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9C9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4BC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40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D98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40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6AFA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0EF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6DA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2F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2CFA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9F2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2FD4"/>
    <w:rsid w:val="00A53700"/>
    <w:rsid w:val="00A54657"/>
    <w:rsid w:val="00A5473D"/>
    <w:rsid w:val="00A557EE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245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97F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156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84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6DD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1DF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917"/>
    <w:rsid w:val="00CA3062"/>
    <w:rsid w:val="00CA4414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2DE8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8B1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A8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53B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0E35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5AA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5F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60D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473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5F6B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7E9"/>
    <w:rsid w:val="00EA3D2E"/>
    <w:rsid w:val="00EA5C68"/>
    <w:rsid w:val="00EA60C8"/>
    <w:rsid w:val="00EA7E19"/>
    <w:rsid w:val="00EA7FD1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2E70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B51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11B17D4"/>
    <w:rsid w:val="01A56FAB"/>
    <w:rsid w:val="02207A05"/>
    <w:rsid w:val="023114DC"/>
    <w:rsid w:val="029401D0"/>
    <w:rsid w:val="02C75875"/>
    <w:rsid w:val="033676B5"/>
    <w:rsid w:val="03506877"/>
    <w:rsid w:val="0360625D"/>
    <w:rsid w:val="039B187E"/>
    <w:rsid w:val="03A23123"/>
    <w:rsid w:val="03A80371"/>
    <w:rsid w:val="044C4AFE"/>
    <w:rsid w:val="04573544"/>
    <w:rsid w:val="04732322"/>
    <w:rsid w:val="04A33028"/>
    <w:rsid w:val="04A8786A"/>
    <w:rsid w:val="04C21305"/>
    <w:rsid w:val="05947188"/>
    <w:rsid w:val="05D52A67"/>
    <w:rsid w:val="063467E5"/>
    <w:rsid w:val="067D2939"/>
    <w:rsid w:val="067E7AFF"/>
    <w:rsid w:val="072C24E3"/>
    <w:rsid w:val="080C48EF"/>
    <w:rsid w:val="081852B6"/>
    <w:rsid w:val="090F1D8C"/>
    <w:rsid w:val="096C5763"/>
    <w:rsid w:val="0A467BD4"/>
    <w:rsid w:val="0A7A3A6F"/>
    <w:rsid w:val="0AB35C28"/>
    <w:rsid w:val="0AC70E4D"/>
    <w:rsid w:val="0B1B407F"/>
    <w:rsid w:val="0BD874FF"/>
    <w:rsid w:val="0C9639D1"/>
    <w:rsid w:val="0D6F3147"/>
    <w:rsid w:val="0DA4580A"/>
    <w:rsid w:val="0E7C32F1"/>
    <w:rsid w:val="0E891300"/>
    <w:rsid w:val="0F302047"/>
    <w:rsid w:val="0F9A6DFD"/>
    <w:rsid w:val="0FC21761"/>
    <w:rsid w:val="10370C76"/>
    <w:rsid w:val="10502D2C"/>
    <w:rsid w:val="114B0315"/>
    <w:rsid w:val="114F50F0"/>
    <w:rsid w:val="11513D9D"/>
    <w:rsid w:val="11A056A8"/>
    <w:rsid w:val="11A669BC"/>
    <w:rsid w:val="12184B7C"/>
    <w:rsid w:val="12562F4F"/>
    <w:rsid w:val="12A467FF"/>
    <w:rsid w:val="12E62365"/>
    <w:rsid w:val="131A32F7"/>
    <w:rsid w:val="13303256"/>
    <w:rsid w:val="141C5906"/>
    <w:rsid w:val="142D2518"/>
    <w:rsid w:val="14304C8C"/>
    <w:rsid w:val="14774D1A"/>
    <w:rsid w:val="148131EC"/>
    <w:rsid w:val="14E9666F"/>
    <w:rsid w:val="155D054E"/>
    <w:rsid w:val="15B6151F"/>
    <w:rsid w:val="15B67958"/>
    <w:rsid w:val="15ED550A"/>
    <w:rsid w:val="1638470C"/>
    <w:rsid w:val="16A035E6"/>
    <w:rsid w:val="16B769EB"/>
    <w:rsid w:val="17307051"/>
    <w:rsid w:val="17637892"/>
    <w:rsid w:val="18217321"/>
    <w:rsid w:val="18615A28"/>
    <w:rsid w:val="1886040C"/>
    <w:rsid w:val="18B25C57"/>
    <w:rsid w:val="18B451EE"/>
    <w:rsid w:val="18E04972"/>
    <w:rsid w:val="19337DCC"/>
    <w:rsid w:val="19453C57"/>
    <w:rsid w:val="1A1524E0"/>
    <w:rsid w:val="1AD15F16"/>
    <w:rsid w:val="1B2D79CD"/>
    <w:rsid w:val="1C067DE7"/>
    <w:rsid w:val="1C91599E"/>
    <w:rsid w:val="1C9408FD"/>
    <w:rsid w:val="1D1835B6"/>
    <w:rsid w:val="1D3F210D"/>
    <w:rsid w:val="1D741944"/>
    <w:rsid w:val="1D9416B2"/>
    <w:rsid w:val="1EC919BF"/>
    <w:rsid w:val="1F4F6FC1"/>
    <w:rsid w:val="1F747171"/>
    <w:rsid w:val="1F9B19AE"/>
    <w:rsid w:val="1FB73AAB"/>
    <w:rsid w:val="20153BA1"/>
    <w:rsid w:val="20501486"/>
    <w:rsid w:val="20891E56"/>
    <w:rsid w:val="2148239E"/>
    <w:rsid w:val="216653B0"/>
    <w:rsid w:val="21B413D6"/>
    <w:rsid w:val="22202406"/>
    <w:rsid w:val="22956388"/>
    <w:rsid w:val="22A1313E"/>
    <w:rsid w:val="22DE2D43"/>
    <w:rsid w:val="234931CD"/>
    <w:rsid w:val="23792988"/>
    <w:rsid w:val="238508AF"/>
    <w:rsid w:val="24931E5E"/>
    <w:rsid w:val="24E710A5"/>
    <w:rsid w:val="24FD0C42"/>
    <w:rsid w:val="25001F1C"/>
    <w:rsid w:val="253B23BF"/>
    <w:rsid w:val="25E124ED"/>
    <w:rsid w:val="262A0FC5"/>
    <w:rsid w:val="267E0B13"/>
    <w:rsid w:val="27542B52"/>
    <w:rsid w:val="275814A9"/>
    <w:rsid w:val="2759520B"/>
    <w:rsid w:val="28031259"/>
    <w:rsid w:val="28151B92"/>
    <w:rsid w:val="29850FFF"/>
    <w:rsid w:val="29F7110B"/>
    <w:rsid w:val="2A152875"/>
    <w:rsid w:val="2ABC2482"/>
    <w:rsid w:val="2AE62C95"/>
    <w:rsid w:val="2AE91593"/>
    <w:rsid w:val="2B03249C"/>
    <w:rsid w:val="2B322E2E"/>
    <w:rsid w:val="2B637355"/>
    <w:rsid w:val="2BB03F73"/>
    <w:rsid w:val="2BF5313F"/>
    <w:rsid w:val="2C4E0F14"/>
    <w:rsid w:val="2C660BAD"/>
    <w:rsid w:val="2CD7184A"/>
    <w:rsid w:val="2E2339D3"/>
    <w:rsid w:val="2E46730F"/>
    <w:rsid w:val="2E5C466B"/>
    <w:rsid w:val="2E643F62"/>
    <w:rsid w:val="2E9E0075"/>
    <w:rsid w:val="2EB86A5A"/>
    <w:rsid w:val="2F8B1999"/>
    <w:rsid w:val="301E7FEB"/>
    <w:rsid w:val="302442D9"/>
    <w:rsid w:val="303460F0"/>
    <w:rsid w:val="305808D2"/>
    <w:rsid w:val="31AE0F7B"/>
    <w:rsid w:val="32D73973"/>
    <w:rsid w:val="32F644CA"/>
    <w:rsid w:val="33024B42"/>
    <w:rsid w:val="337C596E"/>
    <w:rsid w:val="33EA4076"/>
    <w:rsid w:val="34211DC3"/>
    <w:rsid w:val="34457C7B"/>
    <w:rsid w:val="349011AD"/>
    <w:rsid w:val="34AB325A"/>
    <w:rsid w:val="34E838FF"/>
    <w:rsid w:val="35CE36F4"/>
    <w:rsid w:val="35F6643E"/>
    <w:rsid w:val="36425C10"/>
    <w:rsid w:val="36545850"/>
    <w:rsid w:val="365509D9"/>
    <w:rsid w:val="36E376B5"/>
    <w:rsid w:val="374851A2"/>
    <w:rsid w:val="38114253"/>
    <w:rsid w:val="38E40EC7"/>
    <w:rsid w:val="39273A3C"/>
    <w:rsid w:val="397B2105"/>
    <w:rsid w:val="39992131"/>
    <w:rsid w:val="399D0C47"/>
    <w:rsid w:val="39F76E63"/>
    <w:rsid w:val="3A141F6C"/>
    <w:rsid w:val="3A165225"/>
    <w:rsid w:val="3A3A37F9"/>
    <w:rsid w:val="3A4D6569"/>
    <w:rsid w:val="3A7C2502"/>
    <w:rsid w:val="3AA052FB"/>
    <w:rsid w:val="3B0F4575"/>
    <w:rsid w:val="3B447DC6"/>
    <w:rsid w:val="3BA50EFF"/>
    <w:rsid w:val="3C4A55E3"/>
    <w:rsid w:val="3C916A88"/>
    <w:rsid w:val="3CA95CFB"/>
    <w:rsid w:val="3D604A2D"/>
    <w:rsid w:val="3D636270"/>
    <w:rsid w:val="3D895406"/>
    <w:rsid w:val="3D946AC2"/>
    <w:rsid w:val="3DAB0005"/>
    <w:rsid w:val="3DD526CA"/>
    <w:rsid w:val="3E217D33"/>
    <w:rsid w:val="3F5B2C54"/>
    <w:rsid w:val="401B2443"/>
    <w:rsid w:val="410913DA"/>
    <w:rsid w:val="41542A12"/>
    <w:rsid w:val="41940949"/>
    <w:rsid w:val="41D506BB"/>
    <w:rsid w:val="41EF7F1F"/>
    <w:rsid w:val="43205793"/>
    <w:rsid w:val="4335357A"/>
    <w:rsid w:val="433E6477"/>
    <w:rsid w:val="43F438D8"/>
    <w:rsid w:val="44302DF3"/>
    <w:rsid w:val="44B40D3D"/>
    <w:rsid w:val="450B6A79"/>
    <w:rsid w:val="45B17F93"/>
    <w:rsid w:val="45DA3853"/>
    <w:rsid w:val="45FA07D0"/>
    <w:rsid w:val="467D52CE"/>
    <w:rsid w:val="46917266"/>
    <w:rsid w:val="46957A6A"/>
    <w:rsid w:val="47056010"/>
    <w:rsid w:val="473A356C"/>
    <w:rsid w:val="474A6A3B"/>
    <w:rsid w:val="48297809"/>
    <w:rsid w:val="486A7EDB"/>
    <w:rsid w:val="48FE69A5"/>
    <w:rsid w:val="4930333B"/>
    <w:rsid w:val="49724F29"/>
    <w:rsid w:val="49934D61"/>
    <w:rsid w:val="4B9C56DF"/>
    <w:rsid w:val="4BB12379"/>
    <w:rsid w:val="4BF837D2"/>
    <w:rsid w:val="4BFD338A"/>
    <w:rsid w:val="4C401BFB"/>
    <w:rsid w:val="4CC40142"/>
    <w:rsid w:val="4D3A3368"/>
    <w:rsid w:val="4D661BD9"/>
    <w:rsid w:val="4DF23AA7"/>
    <w:rsid w:val="4E0B7D64"/>
    <w:rsid w:val="4E3C6CFA"/>
    <w:rsid w:val="4EB57F2A"/>
    <w:rsid w:val="4F441E2A"/>
    <w:rsid w:val="4F742231"/>
    <w:rsid w:val="4F85712F"/>
    <w:rsid w:val="4F9B779E"/>
    <w:rsid w:val="4FA10E05"/>
    <w:rsid w:val="5037224D"/>
    <w:rsid w:val="50912F82"/>
    <w:rsid w:val="50D40D95"/>
    <w:rsid w:val="51832F88"/>
    <w:rsid w:val="518F5CDD"/>
    <w:rsid w:val="51D51059"/>
    <w:rsid w:val="521238CB"/>
    <w:rsid w:val="52A60C1E"/>
    <w:rsid w:val="52C15DB6"/>
    <w:rsid w:val="53517A6B"/>
    <w:rsid w:val="53956DC5"/>
    <w:rsid w:val="53A03BFA"/>
    <w:rsid w:val="53A52556"/>
    <w:rsid w:val="53A96824"/>
    <w:rsid w:val="54A605D4"/>
    <w:rsid w:val="54D6764B"/>
    <w:rsid w:val="54F01EEF"/>
    <w:rsid w:val="55387FCD"/>
    <w:rsid w:val="55940B01"/>
    <w:rsid w:val="55BF6693"/>
    <w:rsid w:val="562B6CEE"/>
    <w:rsid w:val="568E6375"/>
    <w:rsid w:val="56BC1ECE"/>
    <w:rsid w:val="57300C98"/>
    <w:rsid w:val="57431A44"/>
    <w:rsid w:val="5751351F"/>
    <w:rsid w:val="57F81E57"/>
    <w:rsid w:val="58505756"/>
    <w:rsid w:val="5895248C"/>
    <w:rsid w:val="58A70901"/>
    <w:rsid w:val="58E27CE2"/>
    <w:rsid w:val="59722142"/>
    <w:rsid w:val="599A3124"/>
    <w:rsid w:val="59C50A90"/>
    <w:rsid w:val="5A081611"/>
    <w:rsid w:val="5A7B667C"/>
    <w:rsid w:val="5A9C15E1"/>
    <w:rsid w:val="5AB318EC"/>
    <w:rsid w:val="5CA21F53"/>
    <w:rsid w:val="5CFC79C1"/>
    <w:rsid w:val="5D166FA1"/>
    <w:rsid w:val="5D64614D"/>
    <w:rsid w:val="5D6F0A1C"/>
    <w:rsid w:val="5ED955F8"/>
    <w:rsid w:val="5F317902"/>
    <w:rsid w:val="5F645C40"/>
    <w:rsid w:val="6077058D"/>
    <w:rsid w:val="608D1FBB"/>
    <w:rsid w:val="60D661AE"/>
    <w:rsid w:val="614B0980"/>
    <w:rsid w:val="61B665C4"/>
    <w:rsid w:val="624108BA"/>
    <w:rsid w:val="62F31145"/>
    <w:rsid w:val="6342227E"/>
    <w:rsid w:val="63AC0B80"/>
    <w:rsid w:val="640D4579"/>
    <w:rsid w:val="641E03D0"/>
    <w:rsid w:val="645A59DA"/>
    <w:rsid w:val="64F1679F"/>
    <w:rsid w:val="65240B33"/>
    <w:rsid w:val="6535386A"/>
    <w:rsid w:val="656E1EA5"/>
    <w:rsid w:val="66A41C30"/>
    <w:rsid w:val="678B4983"/>
    <w:rsid w:val="67E003A2"/>
    <w:rsid w:val="6812143E"/>
    <w:rsid w:val="68373100"/>
    <w:rsid w:val="68960123"/>
    <w:rsid w:val="68985CF0"/>
    <w:rsid w:val="68CD05A2"/>
    <w:rsid w:val="692C67D9"/>
    <w:rsid w:val="69EF54FA"/>
    <w:rsid w:val="6AC64296"/>
    <w:rsid w:val="6B1113EA"/>
    <w:rsid w:val="6B291AC2"/>
    <w:rsid w:val="6B47421F"/>
    <w:rsid w:val="6BAD3C5D"/>
    <w:rsid w:val="6BCD1F66"/>
    <w:rsid w:val="6BD22D10"/>
    <w:rsid w:val="6C0D5614"/>
    <w:rsid w:val="6C1E5D41"/>
    <w:rsid w:val="6C4D0EE4"/>
    <w:rsid w:val="6C5E4D95"/>
    <w:rsid w:val="6C64054F"/>
    <w:rsid w:val="6CBA2E1D"/>
    <w:rsid w:val="6D7E311D"/>
    <w:rsid w:val="6DBB2DC6"/>
    <w:rsid w:val="6E675472"/>
    <w:rsid w:val="6E7B4B6C"/>
    <w:rsid w:val="6EBA4107"/>
    <w:rsid w:val="6F0A3EB4"/>
    <w:rsid w:val="6F21030C"/>
    <w:rsid w:val="6F8901FC"/>
    <w:rsid w:val="6F8D2E83"/>
    <w:rsid w:val="6FF47C03"/>
    <w:rsid w:val="70025C90"/>
    <w:rsid w:val="702C38D4"/>
    <w:rsid w:val="70C608BE"/>
    <w:rsid w:val="712F05F8"/>
    <w:rsid w:val="7159098D"/>
    <w:rsid w:val="71652EE0"/>
    <w:rsid w:val="71996A62"/>
    <w:rsid w:val="71C550FA"/>
    <w:rsid w:val="72746F41"/>
    <w:rsid w:val="731B117A"/>
    <w:rsid w:val="73E92511"/>
    <w:rsid w:val="740E1865"/>
    <w:rsid w:val="74453431"/>
    <w:rsid w:val="74600BBC"/>
    <w:rsid w:val="7480655E"/>
    <w:rsid w:val="74B963D7"/>
    <w:rsid w:val="75532172"/>
    <w:rsid w:val="756537CF"/>
    <w:rsid w:val="75A04E0F"/>
    <w:rsid w:val="75BD0535"/>
    <w:rsid w:val="760D3446"/>
    <w:rsid w:val="76237E13"/>
    <w:rsid w:val="763C35C2"/>
    <w:rsid w:val="76816645"/>
    <w:rsid w:val="76843750"/>
    <w:rsid w:val="76913F70"/>
    <w:rsid w:val="771C1592"/>
    <w:rsid w:val="774F4848"/>
    <w:rsid w:val="778575B4"/>
    <w:rsid w:val="7797669F"/>
    <w:rsid w:val="77C07083"/>
    <w:rsid w:val="77D671B1"/>
    <w:rsid w:val="7867307F"/>
    <w:rsid w:val="78881741"/>
    <w:rsid w:val="78A70FCA"/>
    <w:rsid w:val="78EA5CDF"/>
    <w:rsid w:val="79635F91"/>
    <w:rsid w:val="796631F3"/>
    <w:rsid w:val="79C97DAC"/>
    <w:rsid w:val="79EF3A9F"/>
    <w:rsid w:val="7A0B60B0"/>
    <w:rsid w:val="7A4F45D9"/>
    <w:rsid w:val="7A515AE3"/>
    <w:rsid w:val="7A634335"/>
    <w:rsid w:val="7A9A10AC"/>
    <w:rsid w:val="7B154E9F"/>
    <w:rsid w:val="7B7F6994"/>
    <w:rsid w:val="7B9E0993"/>
    <w:rsid w:val="7BF12B0C"/>
    <w:rsid w:val="7C1B749B"/>
    <w:rsid w:val="7C221609"/>
    <w:rsid w:val="7CF746F0"/>
    <w:rsid w:val="7D190D9F"/>
    <w:rsid w:val="7D417001"/>
    <w:rsid w:val="7D7A6B81"/>
    <w:rsid w:val="7D8037CA"/>
    <w:rsid w:val="7E122E21"/>
    <w:rsid w:val="7E5C3A73"/>
    <w:rsid w:val="7EDF6B91"/>
    <w:rsid w:val="7EFE6536"/>
    <w:rsid w:val="7F2B4B49"/>
    <w:rsid w:val="7F9D3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iPriority="0" w:semiHidden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iPriority="0" w:semiHidden="0" w:name="header"/>
    <w:lsdException w:qFormat="1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2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9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1"/>
    <w:next w:val="1"/>
    <w:link w:val="67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64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65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link w:val="68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13"/>
    <w:qFormat/>
    <w:uiPriority w:val="0"/>
  </w:style>
  <w:style w:type="paragraph" w:styleId="27">
    <w:name w:val="caption"/>
    <w:basedOn w:val="1"/>
    <w:next w:val="1"/>
    <w:link w:val="111"/>
    <w:qFormat/>
    <w:uiPriority w:val="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28">
    <w:name w:val="Document Map"/>
    <w:basedOn w:val="1"/>
    <w:link w:val="66"/>
    <w:unhideWhenUsed/>
    <w:qFormat/>
    <w:uiPriority w:val="0"/>
    <w:rPr>
      <w:rFonts w:ascii="宋体"/>
      <w:sz w:val="18"/>
      <w:szCs w:val="18"/>
    </w:rPr>
  </w:style>
  <w:style w:type="paragraph" w:styleId="29">
    <w:name w:val="annotation text"/>
    <w:basedOn w:val="1"/>
    <w:link w:val="103"/>
    <w:qFormat/>
    <w:uiPriority w:val="99"/>
  </w:style>
  <w:style w:type="paragraph" w:styleId="30">
    <w:name w:val="Body Text"/>
    <w:basedOn w:val="1"/>
    <w:link w:val="80"/>
    <w:qFormat/>
    <w:uiPriority w:val="0"/>
  </w:style>
  <w:style w:type="paragraph" w:styleId="31">
    <w:name w:val="Plain Text"/>
    <w:basedOn w:val="1"/>
    <w:link w:val="104"/>
    <w:qFormat/>
    <w:uiPriority w:val="99"/>
    <w:rPr>
      <w:rFonts w:ascii="Courier New" w:hAnsi="Courier New"/>
      <w:lang w:val="nb-NO"/>
    </w:rPr>
  </w:style>
  <w:style w:type="paragraph" w:styleId="32">
    <w:name w:val="List Bullet 5"/>
    <w:basedOn w:val="23"/>
    <w:qFormat/>
    <w:uiPriority w:val="0"/>
    <w:pPr>
      <w:ind w:left="1702"/>
    </w:pPr>
  </w:style>
  <w:style w:type="paragraph" w:styleId="33">
    <w:name w:val="toc 8"/>
    <w:basedOn w:val="20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Date"/>
    <w:basedOn w:val="1"/>
    <w:next w:val="1"/>
    <w:link w:val="101"/>
    <w:unhideWhenUsed/>
    <w:qFormat/>
    <w:uiPriority w:val="99"/>
    <w:pPr>
      <w:ind w:left="100" w:leftChars="2500"/>
    </w:pPr>
  </w:style>
  <w:style w:type="paragraph" w:styleId="35">
    <w:name w:val="Body Text Indent 2"/>
    <w:basedOn w:val="1"/>
    <w:link w:val="105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63"/>
    <w:unhideWhenUsed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1"/>
    <w:link w:val="100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9">
    <w:name w:val="header"/>
    <w:basedOn w:val="1"/>
    <w:link w:val="5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5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1"/>
    <w:qFormat/>
    <w:uiPriority w:val="0"/>
    <w:pPr>
      <w:ind w:left="1418"/>
    </w:pPr>
  </w:style>
  <w:style w:type="paragraph" w:styleId="44">
    <w:name w:val="toc 9"/>
    <w:basedOn w:val="33"/>
    <w:next w:val="1"/>
    <w:qFormat/>
    <w:uiPriority w:val="0"/>
    <w:pPr>
      <w:ind w:left="1418" w:hanging="1418"/>
    </w:p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6">
    <w:name w:val="index 1"/>
    <w:basedOn w:val="1"/>
    <w:next w:val="1"/>
    <w:unhideWhenUsed/>
    <w:qFormat/>
    <w:uiPriority w:val="0"/>
    <w:pPr>
      <w:ind w:left="200" w:hanging="200"/>
    </w:pPr>
  </w:style>
  <w:style w:type="paragraph" w:styleId="47">
    <w:name w:val="index 2"/>
    <w:basedOn w:val="46"/>
    <w:next w:val="1"/>
    <w:semiHidden/>
    <w:qFormat/>
    <w:uiPriority w:val="0"/>
    <w:pPr>
      <w:keepLines/>
      <w:spacing w:after="0"/>
      <w:ind w:left="284" w:firstLine="0"/>
    </w:pPr>
  </w:style>
  <w:style w:type="paragraph" w:styleId="48">
    <w:name w:val="annotation subject"/>
    <w:basedOn w:val="29"/>
    <w:next w:val="29"/>
    <w:link w:val="106"/>
    <w:qFormat/>
    <w:uiPriority w:val="0"/>
    <w:rPr>
      <w:b/>
      <w:bCs/>
    </w:rPr>
  </w:style>
  <w:style w:type="table" w:styleId="50">
    <w:name w:val="Table Grid"/>
    <w:basedOn w:val="4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character" w:customStyle="1" w:styleId="58">
    <w:name w:val="脚注文本 Char"/>
    <w:link w:val="41"/>
    <w:semiHidden/>
    <w:qFormat/>
    <w:uiPriority w:val="0"/>
    <w:rPr>
      <w:rFonts w:ascii="Times New Roman" w:hAnsi="Times New Roman"/>
      <w:sz w:val="16"/>
      <w:lang w:eastAsia="en-US"/>
    </w:rPr>
  </w:style>
  <w:style w:type="character" w:customStyle="1" w:styleId="59">
    <w:name w:val="页眉 Char"/>
    <w:link w:val="39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0">
    <w:name w:val="TAH Car"/>
    <w:link w:val="61"/>
    <w:qFormat/>
    <w:uiPriority w:val="99"/>
    <w:rPr>
      <w:rFonts w:ascii="Arial" w:hAnsi="Arial" w:eastAsia="Times New Roman" w:cs="Arial"/>
      <w:b/>
      <w:bCs/>
      <w:sz w:val="18"/>
      <w:szCs w:val="18"/>
      <w:lang w:val="en-GB" w:eastAsia="ja-JP"/>
    </w:rPr>
  </w:style>
  <w:style w:type="paragraph" w:customStyle="1" w:styleId="61">
    <w:name w:val="TAH"/>
    <w:basedOn w:val="1"/>
    <w:link w:val="60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Times New Roman"/>
      <w:b/>
      <w:bCs/>
      <w:sz w:val="18"/>
      <w:szCs w:val="18"/>
      <w:lang w:eastAsia="ja-JP"/>
    </w:rPr>
  </w:style>
  <w:style w:type="character" w:customStyle="1" w:styleId="62">
    <w:name w:val="标题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63">
    <w:name w:val="批注框文本 Char"/>
    <w:link w:val="37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4">
    <w:name w:val="标题 7 Char"/>
    <w:link w:val="8"/>
    <w:qFormat/>
    <w:uiPriority w:val="0"/>
    <w:rPr>
      <w:rFonts w:ascii="Arial" w:hAnsi="Arial"/>
      <w:lang w:eastAsia="en-US"/>
    </w:rPr>
  </w:style>
  <w:style w:type="character" w:customStyle="1" w:styleId="65">
    <w:name w:val="标题 8 Char"/>
    <w:link w:val="9"/>
    <w:qFormat/>
    <w:uiPriority w:val="0"/>
    <w:rPr>
      <w:rFonts w:ascii="Arial" w:hAnsi="Arial"/>
      <w:sz w:val="36"/>
      <w:lang w:eastAsia="en-US"/>
    </w:rPr>
  </w:style>
  <w:style w:type="character" w:customStyle="1" w:styleId="66">
    <w:name w:val="文档结构图 Char"/>
    <w:link w:val="28"/>
    <w:semiHidden/>
    <w:qFormat/>
    <w:uiPriority w:val="0"/>
    <w:rPr>
      <w:rFonts w:ascii="宋体" w:hAnsi="Times New Roman"/>
      <w:sz w:val="18"/>
      <w:szCs w:val="18"/>
      <w:lang w:val="en-GB" w:eastAsia="en-US"/>
    </w:rPr>
  </w:style>
  <w:style w:type="character" w:customStyle="1" w:styleId="67">
    <w:name w:val="标题 6 Char"/>
    <w:link w:val="7"/>
    <w:qFormat/>
    <w:uiPriority w:val="0"/>
    <w:rPr>
      <w:rFonts w:ascii="Arial" w:hAnsi="Arial"/>
      <w:lang w:eastAsia="en-US"/>
    </w:rPr>
  </w:style>
  <w:style w:type="character" w:customStyle="1" w:styleId="68">
    <w:name w:val="标题 9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69">
    <w:name w:val="TAL Char"/>
    <w:qFormat/>
    <w:uiPriority w:val="0"/>
    <w:rPr>
      <w:rFonts w:ascii="Arial" w:hAnsi="Arial"/>
      <w:sz w:val="18"/>
      <w:lang w:eastAsia="en-US"/>
    </w:rPr>
  </w:style>
  <w:style w:type="character" w:customStyle="1" w:styleId="70">
    <w:name w:val="NO Char"/>
    <w:link w:val="71"/>
    <w:qFormat/>
    <w:uiPriority w:val="0"/>
    <w:rPr>
      <w:rFonts w:ascii="Times New Roman" w:hAnsi="Times New Roman"/>
      <w:lang w:val="zh-CN" w:eastAsia="en-US"/>
    </w:rPr>
  </w:style>
  <w:style w:type="paragraph" w:customStyle="1" w:styleId="71">
    <w:name w:val="NO"/>
    <w:basedOn w:val="1"/>
    <w:link w:val="70"/>
    <w:qFormat/>
    <w:uiPriority w:val="0"/>
    <w:pPr>
      <w:keepLines/>
      <w:ind w:left="1135" w:hanging="851"/>
    </w:pPr>
    <w:rPr>
      <w:lang w:val="zh-CN"/>
    </w:rPr>
  </w:style>
  <w:style w:type="character" w:customStyle="1" w:styleId="72">
    <w:name w:val="尾注文本 Char"/>
    <w:link w:val="36"/>
    <w:qFormat/>
    <w:uiPriority w:val="0"/>
    <w:rPr>
      <w:rFonts w:ascii="Times New Roman" w:hAnsi="Times New Roman" w:eastAsia="Yu Mincho"/>
      <w:lang w:eastAsia="en-US"/>
    </w:rPr>
  </w:style>
  <w:style w:type="character" w:customStyle="1" w:styleId="73">
    <w:name w:val="3GPP Normal Text Char"/>
    <w:link w:val="74"/>
    <w:qFormat/>
    <w:uiPriority w:val="0"/>
    <w:rPr>
      <w:rFonts w:ascii="Times New Roman" w:hAnsi="Times New Roman" w:eastAsia="MS Mincho"/>
      <w:sz w:val="22"/>
      <w:szCs w:val="24"/>
      <w:lang w:val="zh-CN" w:eastAsia="zh-CN"/>
    </w:rPr>
  </w:style>
  <w:style w:type="paragraph" w:customStyle="1" w:styleId="74">
    <w:name w:val="3GPP Normal Text"/>
    <w:basedOn w:val="30"/>
    <w:link w:val="73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75">
    <w:name w:val="ZGSM"/>
    <w:qFormat/>
    <w:uiPriority w:val="0"/>
  </w:style>
  <w:style w:type="character" w:customStyle="1" w:styleId="76">
    <w:name w:val="CR Cover Page Char"/>
    <w:link w:val="77"/>
    <w:qFormat/>
    <w:uiPriority w:val="0"/>
    <w:rPr>
      <w:rFonts w:ascii="Arial" w:hAnsi="Arial"/>
      <w:lang w:eastAsia="en-US"/>
    </w:rPr>
  </w:style>
  <w:style w:type="paragraph" w:customStyle="1" w:styleId="77">
    <w:name w:val="CR Cover Page"/>
    <w:link w:val="76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78">
    <w:name w:val="样式 页眉 Char"/>
    <w:link w:val="79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79">
    <w:name w:val="样式 页眉"/>
    <w:basedOn w:val="39"/>
    <w:link w:val="78"/>
    <w:qFormat/>
    <w:uiPriority w:val="0"/>
    <w:pPr>
      <w:widowControl w:val="0"/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160"/>
      <w:jc w:val="left"/>
      <w:textAlignment w:val="baseline"/>
    </w:pPr>
    <w:rPr>
      <w:rFonts w:ascii="Arial" w:hAnsi="Arial" w:eastAsia="Arial"/>
      <w:b/>
      <w:bCs/>
      <w:sz w:val="22"/>
      <w:szCs w:val="20"/>
    </w:rPr>
  </w:style>
  <w:style w:type="character" w:customStyle="1" w:styleId="80">
    <w:name w:val="正文文本 Char"/>
    <w:link w:val="30"/>
    <w:qFormat/>
    <w:uiPriority w:val="0"/>
    <w:rPr>
      <w:rFonts w:ascii="Times New Roman" w:hAnsi="Times New Roman"/>
      <w:lang w:eastAsia="en-US"/>
    </w:rPr>
  </w:style>
  <w:style w:type="character" w:customStyle="1" w:styleId="81">
    <w:name w:val="批注主题 Char"/>
    <w:qFormat/>
    <w:uiPriority w:val="0"/>
    <w:rPr>
      <w:rFonts w:ascii="Times New Roman" w:hAnsi="Times New Roman"/>
      <w:lang w:val="en-GB" w:eastAsia="en-US"/>
    </w:rPr>
  </w:style>
  <w:style w:type="character" w:customStyle="1" w:styleId="82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paragraph" w:customStyle="1" w:styleId="83">
    <w:name w:val="PL"/>
    <w:link w:val="8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4">
    <w:name w:val="H6 Char"/>
    <w:link w:val="85"/>
    <w:qFormat/>
    <w:uiPriority w:val="0"/>
    <w:rPr>
      <w:rFonts w:ascii="Arial" w:hAnsi="Arial"/>
      <w:szCs w:val="18"/>
      <w:lang w:val="sv-SE" w:eastAsia="zh-CN"/>
    </w:rPr>
  </w:style>
  <w:style w:type="paragraph" w:customStyle="1" w:styleId="85">
    <w:name w:val="H6"/>
    <w:basedOn w:val="6"/>
    <w:next w:val="1"/>
    <w:link w:val="84"/>
    <w:qFormat/>
    <w:uiPriority w:val="0"/>
    <w:pPr>
      <w:numPr>
        <w:numId w:val="0"/>
      </w:numPr>
      <w:ind w:left="1985" w:hanging="1985"/>
      <w:outlineLvl w:val="9"/>
    </w:pPr>
    <w:rPr>
      <w:sz w:val="20"/>
      <w:szCs w:val="18"/>
      <w:lang w:val="sv-SE" w:eastAsia="zh-CN"/>
    </w:rPr>
  </w:style>
  <w:style w:type="character" w:customStyle="1" w:styleId="86">
    <w:name w:val="列出段落 Char"/>
    <w:link w:val="87"/>
    <w:qFormat/>
    <w:locked/>
    <w:uiPriority w:val="34"/>
    <w:rPr>
      <w:rFonts w:ascii="Times New Roman" w:hAnsi="Times New Roman"/>
      <w:lang w:eastAsia="en-US"/>
    </w:rPr>
  </w:style>
  <w:style w:type="paragraph" w:styleId="87">
    <w:name w:val="List Paragraph"/>
    <w:basedOn w:val="1"/>
    <w:link w:val="86"/>
    <w:qFormat/>
    <w:uiPriority w:val="34"/>
    <w:pPr>
      <w:ind w:firstLine="420" w:firstLineChars="200"/>
    </w:pPr>
  </w:style>
  <w:style w:type="character" w:customStyle="1" w:styleId="88">
    <w:name w:val="标题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89">
    <w:name w:val="标题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0">
    <w:name w:val="标题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1">
    <w:name w:val="标题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92">
    <w:name w:val="TAC Char"/>
    <w:link w:val="93"/>
    <w:qFormat/>
    <w:uiPriority w:val="0"/>
    <w:rPr>
      <w:rFonts w:ascii="Arial" w:hAnsi="Arial" w:eastAsia="Times New Roman"/>
      <w:sz w:val="18"/>
      <w:lang w:eastAsia="en-GB"/>
    </w:rPr>
  </w:style>
  <w:style w:type="paragraph" w:customStyle="1" w:styleId="93">
    <w:name w:val="TAC"/>
    <w:basedOn w:val="1"/>
    <w:link w:val="92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hAnsi="Arial" w:eastAsia="Times New Roman"/>
      <w:sz w:val="18"/>
      <w:lang w:val="en-US" w:eastAsia="en-GB"/>
    </w:rPr>
  </w:style>
  <w:style w:type="character" w:customStyle="1" w:styleId="94">
    <w:name w:val="TAL Car"/>
    <w:link w:val="95"/>
    <w:qFormat/>
    <w:locked/>
    <w:uiPriority w:val="0"/>
    <w:rPr>
      <w:rFonts w:ascii="Arial" w:hAnsi="Arial" w:cs="Arial"/>
      <w:sz w:val="18"/>
      <w:szCs w:val="18"/>
      <w:lang w:val="en-GB" w:eastAsia="ja-JP"/>
    </w:rPr>
  </w:style>
  <w:style w:type="paragraph" w:customStyle="1" w:styleId="95">
    <w:name w:val="TAL"/>
    <w:basedOn w:val="1"/>
    <w:link w:val="94"/>
    <w:qFormat/>
    <w:uiPriority w:val="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character" w:customStyle="1" w:styleId="96">
    <w:name w:val="TH Char"/>
    <w:link w:val="97"/>
    <w:qFormat/>
    <w:locked/>
    <w:uiPriority w:val="0"/>
    <w:rPr>
      <w:rFonts w:ascii="Arial" w:hAnsi="Arial" w:cs="Arial"/>
      <w:b/>
      <w:bCs/>
      <w:lang w:val="en-GB" w:eastAsia="ja-JP"/>
    </w:rPr>
  </w:style>
  <w:style w:type="paragraph" w:customStyle="1" w:styleId="97">
    <w:name w:val="TH"/>
    <w:basedOn w:val="1"/>
    <w:link w:val="96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character" w:customStyle="1" w:styleId="98">
    <w:name w:val="TAN Char"/>
    <w:link w:val="99"/>
    <w:qFormat/>
    <w:uiPriority w:val="0"/>
    <w:rPr>
      <w:rFonts w:ascii="Arial" w:hAnsi="Arial" w:cs="Arial"/>
      <w:sz w:val="18"/>
      <w:szCs w:val="18"/>
      <w:lang w:val="en-GB" w:eastAsia="en-US"/>
    </w:rPr>
  </w:style>
  <w:style w:type="paragraph" w:customStyle="1" w:styleId="99">
    <w:name w:val="TAN"/>
    <w:basedOn w:val="95"/>
    <w:link w:val="98"/>
    <w:qFormat/>
    <w:uiPriority w:val="0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100">
    <w:name w:val="页脚 Char"/>
    <w:link w:val="38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101">
    <w:name w:val="日期 Char"/>
    <w:link w:val="34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102">
    <w:name w:val="texhtml"/>
    <w:basedOn w:val="51"/>
    <w:qFormat/>
    <w:uiPriority w:val="0"/>
  </w:style>
  <w:style w:type="character" w:customStyle="1" w:styleId="103">
    <w:name w:val="批注文字 Char"/>
    <w:link w:val="29"/>
    <w:qFormat/>
    <w:uiPriority w:val="99"/>
    <w:rPr>
      <w:rFonts w:ascii="Times New Roman" w:hAnsi="Times New Roman"/>
      <w:lang w:eastAsia="en-US"/>
    </w:rPr>
  </w:style>
  <w:style w:type="character" w:customStyle="1" w:styleId="104">
    <w:name w:val="纯文本 Char"/>
    <w:link w:val="31"/>
    <w:qFormat/>
    <w:uiPriority w:val="99"/>
    <w:rPr>
      <w:rFonts w:ascii="Courier New" w:hAnsi="Courier New"/>
      <w:lang w:val="nb-NO" w:eastAsia="en-US"/>
    </w:rPr>
  </w:style>
  <w:style w:type="character" w:customStyle="1" w:styleId="105">
    <w:name w:val="正文文本缩进 2 Char"/>
    <w:link w:val="35"/>
    <w:qFormat/>
    <w:uiPriority w:val="0"/>
    <w:rPr>
      <w:rFonts w:ascii="Arial" w:hAnsi="Arial" w:eastAsia="Yu Mincho"/>
      <w:sz w:val="22"/>
      <w:lang w:eastAsia="en-US"/>
    </w:rPr>
  </w:style>
  <w:style w:type="character" w:customStyle="1" w:styleId="106">
    <w:name w:val="批注主题 Char1"/>
    <w:link w:val="48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07">
    <w:name w:val="Guidance Char"/>
    <w:link w:val="108"/>
    <w:qFormat/>
    <w:uiPriority w:val="0"/>
    <w:rPr>
      <w:rFonts w:ascii="Times New Roman" w:hAnsi="Times New Roman"/>
      <w:i/>
      <w:color w:val="0000FF"/>
      <w:lang w:val="zh-CN" w:eastAsia="en-US"/>
    </w:rPr>
  </w:style>
  <w:style w:type="paragraph" w:customStyle="1" w:styleId="108">
    <w:name w:val="Guidance"/>
    <w:basedOn w:val="1"/>
    <w:link w:val="107"/>
    <w:qFormat/>
    <w:uiPriority w:val="0"/>
    <w:rPr>
      <w:i/>
      <w:color w:val="0000FF"/>
      <w:lang w:val="zh-CN"/>
    </w:rPr>
  </w:style>
  <w:style w:type="character" w:customStyle="1" w:styleId="109">
    <w:name w:val="B1 Char"/>
    <w:link w:val="110"/>
    <w:qFormat/>
    <w:uiPriority w:val="0"/>
    <w:rPr>
      <w:rFonts w:ascii="Times New Roman" w:hAnsi="Times New Roman"/>
      <w:lang w:eastAsia="en-US"/>
    </w:rPr>
  </w:style>
  <w:style w:type="paragraph" w:customStyle="1" w:styleId="110">
    <w:name w:val="B1"/>
    <w:basedOn w:val="13"/>
    <w:link w:val="109"/>
    <w:qFormat/>
    <w:uiPriority w:val="0"/>
  </w:style>
  <w:style w:type="character" w:customStyle="1" w:styleId="111">
    <w:name w:val="题注 Char"/>
    <w:link w:val="27"/>
    <w:qFormat/>
    <w:uiPriority w:val="0"/>
    <w:rPr>
      <w:rFonts w:ascii="Times New Roman" w:hAnsi="Times New Roman"/>
      <w:b/>
      <w:bCs/>
      <w:lang w:val="en-US" w:eastAsia="en-US"/>
    </w:rPr>
  </w:style>
  <w:style w:type="character" w:customStyle="1" w:styleId="112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13">
    <w:name w:val="Subtle Reference1"/>
    <w:qFormat/>
    <w:uiPriority w:val="31"/>
    <w:rPr>
      <w:smallCaps/>
      <w:color w:val="C0504D"/>
      <w:u w:val="single"/>
    </w:rPr>
  </w:style>
  <w:style w:type="character" w:customStyle="1" w:styleId="114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15">
    <w:name w:val="EQ Char"/>
    <w:link w:val="116"/>
    <w:qFormat/>
    <w:locked/>
    <w:uiPriority w:val="0"/>
    <w:rPr>
      <w:rFonts w:ascii="Times New Roman" w:hAnsi="Times New Roman"/>
      <w:lang w:eastAsia="en-US"/>
    </w:rPr>
  </w:style>
  <w:style w:type="paragraph" w:customStyle="1" w:styleId="116">
    <w:name w:val="EQ"/>
    <w:basedOn w:val="1"/>
    <w:next w:val="1"/>
    <w:link w:val="11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7">
    <w:name w:val="normaltextrun"/>
    <w:basedOn w:val="51"/>
    <w:qFormat/>
    <w:uiPriority w:val="0"/>
  </w:style>
  <w:style w:type="paragraph" w:customStyle="1" w:styleId="118">
    <w:name w:val="TF"/>
    <w:basedOn w:val="97"/>
    <w:qFormat/>
    <w:uiPriority w:val="0"/>
    <w:pPr>
      <w:keepNext w:val="0"/>
      <w:overflowPunct/>
      <w:autoSpaceDE/>
      <w:autoSpaceDN/>
      <w:adjustRightInd/>
      <w:spacing w:before="0" w:after="240"/>
    </w:pPr>
    <w:rPr>
      <w:rFonts w:cs="Times New Roman"/>
      <w:bCs w:val="0"/>
      <w:lang w:val="zh-CN" w:eastAsia="en-US"/>
    </w:rPr>
  </w:style>
  <w:style w:type="paragraph" w:customStyle="1" w:styleId="119">
    <w:name w:val="INDENT1"/>
    <w:basedOn w:val="1"/>
    <w:qFormat/>
    <w:uiPriority w:val="0"/>
    <w:pPr>
      <w:ind w:left="851"/>
    </w:pPr>
  </w:style>
  <w:style w:type="paragraph" w:customStyle="1" w:styleId="120">
    <w:name w:val="ZTD"/>
    <w:basedOn w:val="121"/>
    <w:qFormat/>
    <w:uiPriority w:val="0"/>
    <w:pPr>
      <w:framePr w:hRule="auto" w:y="852"/>
    </w:pPr>
    <w:rPr>
      <w:i w:val="0"/>
      <w:sz w:val="40"/>
    </w:rPr>
  </w:style>
  <w:style w:type="paragraph" w:customStyle="1" w:styleId="12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22">
    <w:name w:val="TAR"/>
    <w:basedOn w:val="95"/>
    <w:qFormat/>
    <w:uiPriority w:val="0"/>
    <w:pPr>
      <w:overflowPunct/>
      <w:autoSpaceDE/>
      <w:autoSpaceDN/>
      <w:adjustRightInd/>
      <w:jc w:val="right"/>
    </w:pPr>
    <w:rPr>
      <w:rFonts w:cs="Times New Roman"/>
      <w:szCs w:val="20"/>
      <w:lang w:val="zh-CN" w:eastAsia="en-US"/>
    </w:rPr>
  </w:style>
  <w:style w:type="paragraph" w:customStyle="1" w:styleId="123">
    <w:name w:val="B5"/>
    <w:basedOn w:val="42"/>
    <w:qFormat/>
    <w:uiPriority w:val="0"/>
  </w:style>
  <w:style w:type="paragraph" w:customStyle="1" w:styleId="124">
    <w:name w:val="B2"/>
    <w:basedOn w:val="12"/>
    <w:qFormat/>
    <w:uiPriority w:val="0"/>
  </w:style>
  <w:style w:type="paragraph" w:customStyle="1" w:styleId="125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paragraph" w:customStyle="1" w:styleId="126">
    <w:name w:val="B3"/>
    <w:basedOn w:val="11"/>
    <w:qFormat/>
    <w:uiPriority w:val="0"/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28">
    <w:name w:val="TT"/>
    <w:basedOn w:val="2"/>
    <w:next w:val="1"/>
    <w:qFormat/>
    <w:uiPriority w:val="0"/>
    <w:pPr>
      <w:tabs>
        <w:tab w:val="clear" w:pos="432"/>
      </w:tabs>
      <w:outlineLvl w:val="9"/>
    </w:pPr>
    <w:rPr>
      <w:lang w:val="sv-SE"/>
    </w:rPr>
  </w:style>
  <w:style w:type="paragraph" w:customStyle="1" w:styleId="129">
    <w:name w:val="NF"/>
    <w:basedOn w:val="7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32">
    <w:name w:val="EX"/>
    <w:basedOn w:val="1"/>
    <w:qFormat/>
    <w:uiPriority w:val="0"/>
    <w:pPr>
      <w:keepLines/>
      <w:ind w:left="1702" w:hanging="1418"/>
    </w:pPr>
  </w:style>
  <w:style w:type="paragraph" w:customStyle="1" w:styleId="13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NW"/>
    <w:basedOn w:val="71"/>
    <w:qFormat/>
    <w:uiPriority w:val="0"/>
    <w:pPr>
      <w:spacing w:after="0"/>
    </w:pPr>
  </w:style>
  <w:style w:type="paragraph" w:customStyle="1" w:styleId="136">
    <w:name w:val="INDENT3"/>
    <w:basedOn w:val="1"/>
    <w:qFormat/>
    <w:uiPriority w:val="0"/>
    <w:pPr>
      <w:ind w:left="1701" w:hanging="567"/>
    </w:pPr>
  </w:style>
  <w:style w:type="paragraph" w:customStyle="1" w:styleId="137">
    <w:name w:val="EW"/>
    <w:basedOn w:val="132"/>
    <w:qFormat/>
    <w:uiPriority w:val="0"/>
    <w:pPr>
      <w:spacing w:after="0"/>
    </w:pPr>
  </w:style>
  <w:style w:type="paragraph" w:customStyle="1" w:styleId="138">
    <w:name w:val="Editor's Note"/>
    <w:basedOn w:val="71"/>
    <w:qFormat/>
    <w:uiPriority w:val="0"/>
    <w:rPr>
      <w:color w:val="FF0000"/>
    </w:rPr>
  </w:style>
  <w:style w:type="paragraph" w:customStyle="1" w:styleId="1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0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1">
    <w:name w:val="B4"/>
    <w:basedOn w:val="43"/>
    <w:qFormat/>
    <w:uiPriority w:val="0"/>
  </w:style>
  <w:style w:type="paragraph" w:customStyle="1" w:styleId="14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6">
    <w:name w:val="ZV"/>
    <w:basedOn w:val="143"/>
    <w:qFormat/>
    <w:uiPriority w:val="0"/>
    <w:pPr>
      <w:framePr w:y="16161"/>
    </w:pPr>
  </w:style>
  <w:style w:type="paragraph" w:customStyle="1" w:styleId="147">
    <w:name w:val="INDENT2"/>
    <w:basedOn w:val="1"/>
    <w:qFormat/>
    <w:uiPriority w:val="0"/>
    <w:pPr>
      <w:ind w:left="1135" w:hanging="284"/>
    </w:pPr>
  </w:style>
  <w:style w:type="paragraph" w:customStyle="1" w:styleId="14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149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5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51">
    <w:name w:val="TAJ"/>
    <w:basedOn w:val="97"/>
    <w:qFormat/>
    <w:uiPriority w:val="0"/>
    <w:pPr>
      <w:overflowPunct/>
      <w:autoSpaceDE/>
      <w:autoSpaceDN/>
      <w:adjustRightInd/>
    </w:pPr>
    <w:rPr>
      <w:rFonts w:cs="Times New Roman"/>
      <w:bCs w:val="0"/>
      <w:lang w:val="zh-CN" w:eastAsia="en-US"/>
    </w:rPr>
  </w:style>
  <w:style w:type="paragraph" w:customStyle="1" w:styleId="152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53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paragraph" w:styleId="154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5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6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table" w:customStyle="1" w:styleId="157">
    <w:name w:val="Table Grid1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">
    <w:name w:val="Table Grid3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2390C5-A3DD-4E73-BAA6-FFCF50F070B3}">
  <ds:schemaRefs/>
</ds:datastoreItem>
</file>

<file path=customXml/itemProps3.xml><?xml version="1.0" encoding="utf-8"?>
<ds:datastoreItem xmlns:ds="http://schemas.openxmlformats.org/officeDocument/2006/customXml" ds:itemID="{0C51F8B9-6FDA-4EF6-B1BE-F2CC81632464}">
  <ds:schemaRefs/>
</ds:datastoreItem>
</file>

<file path=customXml/itemProps4.xml><?xml version="1.0" encoding="utf-8"?>
<ds:datastoreItem xmlns:ds="http://schemas.openxmlformats.org/officeDocument/2006/customXml" ds:itemID="{112C941A-E0E2-49B2-AE14-A71704B58B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 Technologies Co.,Ltd.</Company>
  <Pages>4</Pages>
  <Words>762</Words>
  <Characters>4345</Characters>
  <Lines>36</Lines>
  <Paragraphs>10</Paragraphs>
  <TotalTime>0</TotalTime>
  <ScaleCrop>false</ScaleCrop>
  <LinksUpToDate>false</LinksUpToDate>
  <CharactersWithSpaces>5097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2022-10-17T16:28:00Z</dcterms:created>
  <dc:creator>Dai Xizeng</dc:creator>
  <cp:lastModifiedBy>ZTE,Fei Xue1</cp:lastModifiedBy>
  <dcterms:modified xsi:type="dcterms:W3CDTF">2022-11-17T16:19:11Z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(3)FoHzTumsnb+PPAew6/MqwrUGsdOu5353GOQt1M+wlpi3qILH6efP10HR/x2JGIbSdwZF8H+E
6s9Eyj3MwOEFzlZxguqB4I9DggxGqGPooqcddTEmkxn0ororFhR/LXzdClUQNr98QD0zO2X1
q8wdgEjG6FeJeejYghkcIyMa5rRin1aMoHS+x17stA+BOCxbU2ikPHAI/FUrZ0zzfroCnCOX
hcc/IXAGENzZ33aO1B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WiaW++IRlnQDh5mi31O6pJUs504hl3Y7DCP/cu8fmISO3eCA//u+pe
nqXFrcL1fl9C4/EPvFmDJjKn7+cx6mR9duBwqtR6TxL93vKNV/Z8ZpgFN6pivMJVX2aLlJn8
kBXElPbm8tdNSC4Lp+vmM0qNH4Gr5PUJLVvVJFbave2h4CupyJgRqR0Shbg/a1DL18GdnCPT
mpk7Ds+zVFHMXIcYY4rBUw0Hh6moaeGvzHMd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Ig==</vt:lpwstr>
  </property>
  <property fmtid="{D5CDD505-2E9C-101B-9397-08002B2CF9AE}" pid="14" name="KSOProductBuildVer">
    <vt:lpwstr>2052-11.8.2.8875</vt:lpwstr>
  </property>
  <property fmtid="{D5CDD505-2E9C-101B-9397-08002B2CF9AE}" pid="15" name="ContentTypeId">
    <vt:lpwstr>0x010100F3E9551B3FDDA24EBF0A209BAAD637CA</vt:lpwstr>
  </property>
  <property fmtid="{D5CDD505-2E9C-101B-9397-08002B2CF9AE}" pid="16" name="MediaServiceImageTags">
    <vt:lpwstr/>
  </property>
</Properties>
</file>